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D2" w:rsidRDefault="00A250D2" w:rsidP="00A250D2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Załącznik do Uchwały nr XLV/492/2018</w:t>
      </w:r>
    </w:p>
    <w:p w:rsidR="00A250D2" w:rsidRDefault="00A250D2" w:rsidP="00A250D2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Rady Miejskiej w Sokołowie Małopolskim</w:t>
      </w:r>
    </w:p>
    <w:p w:rsidR="00A250D2" w:rsidRDefault="00A250D2" w:rsidP="00A250D2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z dnia 4 września 2018 r.</w:t>
      </w:r>
    </w:p>
    <w:p w:rsidR="00A250D2" w:rsidRDefault="00A250D2" w:rsidP="00A250D2">
      <w:pPr>
        <w:widowControl/>
        <w:suppressAutoHyphens w:val="0"/>
        <w:spacing w:line="360" w:lineRule="auto"/>
        <w:ind w:left="4248" w:firstLine="708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 w:bidi="ar-SA"/>
        </w:rPr>
        <w:t>Regulamin</w:t>
      </w: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:rsidR="00A250D2" w:rsidRPr="00E9781E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przyznawania dotacji celowej z budżetu dla osób fizycznych na inwestycje związane</w:t>
      </w: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br/>
        <w:t>z ochroną środowiska – polegające na usuwaniu wyrobów zawierających azbest, tj. transportu i utylizacji wyrobów zawierających azbest, składowanych na posesjach                   i znajdujących się na nieruchomościach niezajętych na prowadzenie działalności gospodarczej.</w:t>
      </w:r>
    </w:p>
    <w:p w:rsidR="00A250D2" w:rsidRDefault="00A250D2" w:rsidP="00A250D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Rozdział 1</w:t>
      </w: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Przepisy ogólne</w:t>
      </w:r>
    </w:p>
    <w:p w:rsidR="00A250D2" w:rsidRDefault="00A250D2" w:rsidP="00A250D2">
      <w:pPr>
        <w:widowControl/>
        <w:suppressAutoHyphens w:val="0"/>
        <w:spacing w:line="12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§1</w:t>
      </w:r>
    </w:p>
    <w:p w:rsidR="00A250D2" w:rsidRDefault="00A250D2" w:rsidP="00A250D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1. Regulamin określa zasady przyznawania osobom fizycznym dotacji celowej z budżetu Gminy Sokołów Małopolski na zadania inwestycyjne związane z transportem i utylizacją materiałów zawierających azbest polegającym na transporcie i utylizacji materiałów zawierających azbest składowanych na posesjach przed dniem wejścia w życie przepisów                  w sprawie sposobu i warunków bezpiecznego użytkowania i usuwania wyrobów zawierających azbest.</w:t>
      </w: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§2</w:t>
      </w:r>
    </w:p>
    <w:p w:rsidR="00A250D2" w:rsidRDefault="00A250D2" w:rsidP="00A250D2">
      <w:pPr>
        <w:widowControl/>
        <w:suppressAutoHyphens w:val="0"/>
        <w:spacing w:line="120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Ilekroć w niniejszym regulaminie jest mowa o:</w:t>
      </w:r>
    </w:p>
    <w:p w:rsidR="00A250D2" w:rsidRDefault="00A250D2" w:rsidP="00A250D2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dotacjach celowych - rozumie się przez to wypłaty ze środków budżetu Gminy Sokołów 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Młp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 na sfinansowanie kosztów poniesionych w związku z realizacją zadań wymienionych w §1,</w:t>
      </w:r>
    </w:p>
    <w:p w:rsidR="00A250D2" w:rsidRDefault="00A250D2" w:rsidP="00A250D2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BF394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wnioskodawcy - rozumie się przez to osobę fizyczną, nieprowadzącą działalności gospodarczej, występującą z wnioskiem o dofinansowanie inwestycji,</w:t>
      </w:r>
    </w:p>
    <w:p w:rsidR="00A250D2" w:rsidRPr="00BF3944" w:rsidRDefault="00A250D2" w:rsidP="00A250D2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BF394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dotującym - należy przez to rozumieć Gminę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Sokołów 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Młp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</w:t>
      </w:r>
    </w:p>
    <w:p w:rsidR="00A250D2" w:rsidRDefault="00A250D2" w:rsidP="00A250D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Rozdział 2</w:t>
      </w: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Warunki otrzymania dotacji celowej</w:t>
      </w: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 3</w:t>
      </w:r>
    </w:p>
    <w:p w:rsidR="00A250D2" w:rsidRDefault="00A250D2" w:rsidP="00A250D2">
      <w:pPr>
        <w:widowControl/>
        <w:suppressAutoHyphens w:val="0"/>
        <w:spacing w:line="72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Dotację celową mogą uzyskać Wnioskodawcy, którzy posiadają tytuł prawny do nieruchomości na terenie Gminy Sokołów 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Młp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., na których znajdują się budynki mieszkalne lub gospodarcze pokryte azbestem lub budynki, z których zdemontowano azbest i złożono na tej nieruchomości. </w:t>
      </w:r>
    </w:p>
    <w:p w:rsidR="00A250D2" w:rsidRDefault="00A250D2" w:rsidP="00A250D2">
      <w:pPr>
        <w:numPr>
          <w:ilvl w:val="0"/>
          <w:numId w:val="2"/>
        </w:numPr>
        <w:jc w:val="both"/>
      </w:pPr>
      <w:r>
        <w:t>Wnioskodawca zobowiązuje się do przygotowania wyrobów zawierających azbest do załadunku, tj.:</w:t>
      </w:r>
    </w:p>
    <w:p w:rsidR="00A250D2" w:rsidRDefault="00A250D2" w:rsidP="00A250D2">
      <w:pPr>
        <w:numPr>
          <w:ilvl w:val="0"/>
          <w:numId w:val="9"/>
        </w:numPr>
        <w:ind w:left="1134" w:hanging="283"/>
        <w:jc w:val="both"/>
      </w:pPr>
      <w:r>
        <w:t xml:space="preserve">w przypadku płyt eternitowych: do ułożenia we własnym zakresie na paletach, na wysokości nie wyższej niż 1,30 m oraz do ich </w:t>
      </w:r>
      <w:proofErr w:type="spellStart"/>
      <w:r>
        <w:t>zafoliowania</w:t>
      </w:r>
      <w:proofErr w:type="spellEnd"/>
      <w:r>
        <w:t>,</w:t>
      </w:r>
    </w:p>
    <w:p w:rsidR="00A250D2" w:rsidRPr="004A4DF4" w:rsidRDefault="00A250D2" w:rsidP="00A250D2">
      <w:pPr>
        <w:numPr>
          <w:ilvl w:val="0"/>
          <w:numId w:val="9"/>
        </w:numPr>
        <w:ind w:left="1134" w:hanging="283"/>
        <w:jc w:val="both"/>
      </w:pPr>
      <w:r>
        <w:t>w przypadku innych wyrobów w sposób uzgodniony z Gminą.</w:t>
      </w:r>
    </w:p>
    <w:p w:rsidR="00A250D2" w:rsidRPr="00FB0B85" w:rsidRDefault="00A250D2" w:rsidP="00A250D2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lastRenderedPageBreak/>
        <w:t xml:space="preserve">Dotacje udzielane są jednorazowo na podstawie umowy zawartej przed realizacją zadań dotyczących </w:t>
      </w:r>
      <w:r w:rsidRPr="00FB0B85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transportu i utylizacji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materiałów zawierających azbest </w:t>
      </w:r>
      <w:r w:rsidRPr="00FB0B85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składowanych na posesjach.</w:t>
      </w: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 4</w:t>
      </w:r>
    </w:p>
    <w:p w:rsidR="00A250D2" w:rsidRDefault="00A250D2" w:rsidP="00A250D2">
      <w:pPr>
        <w:widowControl/>
        <w:suppressAutoHyphens w:val="0"/>
        <w:spacing w:line="120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Gmina udziela dotacji celowej osobom fizycznym na realizację zadań określonych w § 1 w wysokości 100% poniesionych kosztów (określonych na podstawie faktury) wystawionej przez podmiot świadczący usługę w zakresie określonym w § 1, wybrany przez Gminę Sokołów 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Młp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., maksymalnie 3 000,00 zł</w:t>
      </w:r>
      <w:r>
        <w:rPr>
          <w:rFonts w:ascii="Times New Roman" w:eastAsia="Times New Roman" w:hAnsi="Times New Roman" w:cs="Times New Roman"/>
          <w:color w:val="FF0000"/>
          <w:kern w:val="0"/>
          <w:szCs w:val="20"/>
          <w:lang w:eastAsia="pl-PL" w:bidi="ar-SA"/>
        </w:rPr>
        <w:t xml:space="preserve"> </w:t>
      </w:r>
      <w:r w:rsidRPr="00D12F8A"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 xml:space="preserve">w okresie jednego roku. </w:t>
      </w:r>
    </w:p>
    <w:p w:rsidR="00A250D2" w:rsidRDefault="00A250D2" w:rsidP="00A250D2">
      <w:pPr>
        <w:widowControl/>
        <w:suppressAutoHyphens w:val="0"/>
        <w:spacing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Rozdział 3</w:t>
      </w: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>Tryb udzielania i rozliczania dotacji</w:t>
      </w:r>
    </w:p>
    <w:p w:rsidR="00A250D2" w:rsidRDefault="00A250D2" w:rsidP="00A250D2">
      <w:pPr>
        <w:widowControl/>
        <w:suppressAutoHyphens w:val="0"/>
        <w:spacing w:line="48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 5</w:t>
      </w:r>
    </w:p>
    <w:p w:rsidR="00A250D2" w:rsidRDefault="00A250D2" w:rsidP="00A250D2">
      <w:pPr>
        <w:widowControl/>
        <w:suppressAutoHyphens w:val="0"/>
        <w:spacing w:line="48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Pr="00D12F8A" w:rsidRDefault="00A250D2" w:rsidP="00A250D2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</w:pPr>
      <w:r w:rsidRPr="00D12F8A"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 xml:space="preserve">W celu zawarcia umowy o udzielenie dotacji Wnioskodawca zobowiązany jest złożyć pisemny wniosek. Wnioski należy składać do </w:t>
      </w:r>
      <w:r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>5</w:t>
      </w:r>
      <w:r w:rsidRPr="00D12F8A"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 xml:space="preserve"> września każdego roku.</w:t>
      </w:r>
    </w:p>
    <w:p w:rsidR="00A250D2" w:rsidRDefault="00A250D2" w:rsidP="00A250D2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Wzór wniosku określa załącznik do regulaminu.</w:t>
      </w:r>
    </w:p>
    <w:p w:rsidR="00A250D2" w:rsidRDefault="00A250D2" w:rsidP="00A250D2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Wzór wniosku o zawarcie umowy o udzielenie dotacji jest dostępny w pokoju nr 16                   w Urzędzie Gminy i Miasta Sokołów 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Młp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. oraz na stronie internetowej </w:t>
      </w:r>
      <w:r w:rsidRPr="00943EA8">
        <w:rPr>
          <w:rFonts w:ascii="Times New Roman" w:eastAsia="Times New Roman" w:hAnsi="Times New Roman" w:cs="Times New Roman" w:hint="eastAsia"/>
          <w:kern w:val="0"/>
          <w:szCs w:val="20"/>
          <w:lang w:eastAsia="pl-PL" w:bidi="ar-SA"/>
        </w:rPr>
        <w:t>www.sokolow-mlp.pl</w:t>
      </w:r>
    </w:p>
    <w:p w:rsidR="00A250D2" w:rsidRPr="003E0173" w:rsidRDefault="00A250D2" w:rsidP="00A250D2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Wnioski rozpatrywane będą według </w:t>
      </w:r>
      <w:r w:rsidRPr="003E017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kolejności złożenia wniosku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</w:t>
      </w:r>
    </w:p>
    <w:p w:rsidR="00A250D2" w:rsidRDefault="00A250D2" w:rsidP="00A250D2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Wnioski nierozpatrzone w danym roku kalendarzowym, ze względu na wyczerpanie zaplanowanych środków finansowych w budżecie Gminy, będą rozpatrywane sukcesywnie w latach kolejnych, pod warunkiem zabezpieczenia środków finansowych na ten cel w budżecie.</w:t>
      </w:r>
    </w:p>
    <w:p w:rsidR="00A250D2" w:rsidRDefault="00A250D2" w:rsidP="00A250D2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Wnioski złożone po terminie w przypadku wolnych środków finansowych mogą zostać rozpatrzone po decyzji dotującego. </w:t>
      </w:r>
    </w:p>
    <w:p w:rsidR="00A250D2" w:rsidRPr="00852EC6" w:rsidRDefault="00A250D2" w:rsidP="00A250D2">
      <w:pPr>
        <w:widowControl/>
        <w:suppressAutoHyphens w:val="0"/>
        <w:spacing w:line="120" w:lineRule="auto"/>
        <w:ind w:left="72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 6</w:t>
      </w:r>
    </w:p>
    <w:p w:rsidR="00A250D2" w:rsidRDefault="00A250D2" w:rsidP="00A250D2">
      <w:pPr>
        <w:widowControl/>
        <w:suppressAutoHyphens w:val="0"/>
        <w:spacing w:line="48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Wnioski rozpatruje Burmistrz Gminy i Miasta Sokołów 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Młp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</w:t>
      </w:r>
    </w:p>
    <w:p w:rsidR="00A250D2" w:rsidRDefault="00A250D2" w:rsidP="00A250D2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Burmistrz Gminy i Miasta Sokołów 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Młp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. odmawia zawarcia umowy, jeżeli wniosek                o zawarcie umowy nie spełnia wymogów określonych w § 5 ust. </w:t>
      </w:r>
      <w:smartTag w:uri="urn:schemas-microsoft-com:office:smarttags" w:element="metricconverter">
        <w:smartTagPr>
          <w:attr w:name="ProductID" w:val="2, a"/>
        </w:smartTagPr>
        <w:r>
          <w:rPr>
            <w:rFonts w:ascii="Times New Roman" w:eastAsia="Times New Roman" w:hAnsi="Times New Roman" w:cs="Times New Roman"/>
            <w:kern w:val="0"/>
            <w:szCs w:val="20"/>
            <w:lang w:eastAsia="pl-PL" w:bidi="ar-SA"/>
          </w:rPr>
          <w:t>2, a</w:t>
        </w:r>
      </w:smartTag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braków tych nie usunięto w wyznaczonym terminie pomimo wezwania.</w:t>
      </w:r>
    </w:p>
    <w:p w:rsidR="00A250D2" w:rsidRPr="004A4DF4" w:rsidRDefault="00A250D2" w:rsidP="00A250D2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</w:pPr>
      <w:r w:rsidRPr="004A4DF4"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 xml:space="preserve">Po zawarciu umowy i realizacji zadania, na które udzielona ma być dotacja, wyznaczeni pracownicy </w:t>
      </w:r>
      <w:proofErr w:type="spellStart"/>
      <w:r w:rsidRPr="004A4DF4"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>UGiM</w:t>
      </w:r>
      <w:proofErr w:type="spellEnd"/>
      <w:r w:rsidRPr="004A4DF4"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 xml:space="preserve"> stwierdzają w drodze oględzin wskazanej we wniosku nieruchomości, czy zadanie zostało zrealizowane prawidłowo.</w:t>
      </w:r>
    </w:p>
    <w:p w:rsidR="00A250D2" w:rsidRDefault="00A250D2" w:rsidP="00A250D2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Pozytywnie rozpatrzone wnioski, kt</w:t>
      </w:r>
      <w:r w:rsidRPr="0019747A">
        <w:rPr>
          <w:rFonts w:ascii="Times New Roman" w:eastAsia="Times New Roman" w:hAnsi="Times New Roman" w:cs="Times New Roman" w:hint="eastAsia"/>
          <w:kern w:val="0"/>
          <w:szCs w:val="20"/>
          <w:lang w:eastAsia="pl-PL" w:bidi="ar-SA"/>
        </w:rPr>
        <w:t>ó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re wykraczaj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ą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poza mo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ż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liwo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ś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ci finansowe Gminy w danym roku bud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ż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etowym, b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ę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d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ą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stanowi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ł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y podstaw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ę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do zawarcia umowy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              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 nast</w:t>
      </w:r>
      <w:r w:rsidRPr="0019747A">
        <w:rPr>
          <w:rFonts w:ascii="Times New Roman" w:eastAsia="Times New Roman" w:hAnsi="Times New Roman" w:cs="Times New Roman" w:hint="cs"/>
          <w:kern w:val="0"/>
          <w:szCs w:val="20"/>
          <w:lang w:eastAsia="pl-PL" w:bidi="ar-SA"/>
        </w:rPr>
        <w:t>ę</w:t>
      </w:r>
      <w:r w:rsidRPr="0019747A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pnym roku.</w:t>
      </w:r>
    </w:p>
    <w:p w:rsidR="00A250D2" w:rsidRPr="004A4DF4" w:rsidRDefault="00A250D2" w:rsidP="00A250D2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</w:pPr>
      <w:r w:rsidRPr="004A4DF4">
        <w:rPr>
          <w:rFonts w:ascii="Times New Roman" w:eastAsia="Times New Roman" w:hAnsi="Times New Roman" w:cs="Times New Roman"/>
          <w:color w:val="000000"/>
          <w:kern w:val="0"/>
          <w:szCs w:val="20"/>
          <w:lang w:eastAsia="pl-PL" w:bidi="ar-SA"/>
        </w:rPr>
        <w:t>Pozytywny wynik oględzin jest warunkiem wypłaty dotacji.</w:t>
      </w:r>
    </w:p>
    <w:p w:rsidR="00A250D2" w:rsidRDefault="00A250D2" w:rsidP="00A250D2">
      <w:pPr>
        <w:widowControl/>
        <w:suppressAutoHyphens w:val="0"/>
        <w:spacing w:line="48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Cs w:val="20"/>
          <w:lang w:eastAsia="pl-PL" w:bidi="ar-SA"/>
        </w:rPr>
      </w:pPr>
      <w:bookmarkStart w:id="0" w:name="mip42568820"/>
      <w:bookmarkEnd w:id="0"/>
    </w:p>
    <w:p w:rsidR="00A250D2" w:rsidRDefault="00A250D2" w:rsidP="00A250D2">
      <w:pPr>
        <w:widowControl/>
        <w:suppressAutoHyphens w:val="0"/>
        <w:spacing w:line="276" w:lineRule="auto"/>
        <w:ind w:left="-76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§ 7</w:t>
      </w:r>
    </w:p>
    <w:p w:rsidR="00A250D2" w:rsidRDefault="00A250D2" w:rsidP="00A250D2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Umowa o przyznanie dotacji powinna zawierać elementy wskazane w art. 250 ustawy z dnia 27 sierpnia 2009 r. o finansach publicznych, w szczególności:</w:t>
      </w:r>
    </w:p>
    <w:p w:rsidR="00A250D2" w:rsidRDefault="00A250D2" w:rsidP="00A250D2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bookmarkStart w:id="1" w:name="mip34984431"/>
      <w:bookmarkEnd w:id="1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wysokość dotacji, cel lub opis zakresu rzeczowego zadania, na którego realizację są przekazywane środki dotacji;</w:t>
      </w:r>
    </w:p>
    <w:p w:rsidR="00A250D2" w:rsidRDefault="00A250D2" w:rsidP="00A250D2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bookmarkStart w:id="2" w:name="mip34984432"/>
      <w:bookmarkEnd w:id="2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lastRenderedPageBreak/>
        <w:t>termin wykorzystania dotacji, nie dłuższy niż do dnia 31 grudnia danego roku budżetowego;</w:t>
      </w:r>
    </w:p>
    <w:p w:rsidR="00A250D2" w:rsidRDefault="00A250D2" w:rsidP="00A250D2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bookmarkStart w:id="3" w:name="mip34984433"/>
      <w:bookmarkEnd w:id="3"/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termin i sposób rozliczenia udzielonej dotacji oraz termin zwrotu niewykorzystanej części dotacji celowej z tym, że termin ten nie może być dłuższy niż terminy zwrotu określone w ustawie o finansach publicznych.</w:t>
      </w:r>
    </w:p>
    <w:p w:rsidR="00A250D2" w:rsidRDefault="00A250D2" w:rsidP="00A250D2">
      <w:pPr>
        <w:widowControl/>
        <w:numPr>
          <w:ilvl w:val="0"/>
          <w:numId w:val="6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Dotujący dokona rozliczenia dotacji poprzez:</w:t>
      </w:r>
    </w:p>
    <w:p w:rsidR="00A250D2" w:rsidRDefault="00A250D2" w:rsidP="00A250D2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4" w:name="mip34984440"/>
      <w:bookmarkEnd w:id="4"/>
      <w:r>
        <w:rPr>
          <w:rFonts w:ascii="Times New Roman" w:eastAsia="Times New Roman" w:hAnsi="Times New Roman" w:cs="Times New Roman"/>
          <w:kern w:val="0"/>
          <w:lang w:eastAsia="pl-PL" w:bidi="ar-SA"/>
        </w:rPr>
        <w:t>przyjęcie i sfinansowanie przez Dotującego faktury VAT wystawionej przez podmiot świadczący usługę w zakresie określonym w § 1,</w:t>
      </w:r>
    </w:p>
    <w:p w:rsidR="00A250D2" w:rsidRDefault="00A250D2" w:rsidP="00A250D2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5" w:name="mip34984441"/>
      <w:bookmarkEnd w:id="5"/>
      <w:r>
        <w:rPr>
          <w:rFonts w:ascii="Times New Roman" w:eastAsia="Times New Roman" w:hAnsi="Times New Roman" w:cs="Times New Roman"/>
          <w:kern w:val="0"/>
          <w:lang w:eastAsia="pl-PL" w:bidi="ar-SA"/>
        </w:rPr>
        <w:t>przyjęcie od podmiotu świadczącego usługę w zakresie określonym w § 1, karty przekazania odpadu na składowisko.</w:t>
      </w:r>
    </w:p>
    <w:p w:rsidR="00A250D2" w:rsidRDefault="00A250D2" w:rsidP="00A250D2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A250D2" w:rsidRDefault="00A250D2" w:rsidP="00A250D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pl-PL" w:bidi="ar-SA"/>
        </w:rPr>
      </w:pPr>
    </w:p>
    <w:p w:rsidR="001E3599" w:rsidRDefault="00A250D2">
      <w:bookmarkStart w:id="6" w:name="_GoBack"/>
      <w:bookmarkEnd w:id="6"/>
    </w:p>
    <w:sectPr w:rsidR="001E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9C8"/>
    <w:multiLevelType w:val="hybridMultilevel"/>
    <w:tmpl w:val="550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7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F2B6E"/>
    <w:multiLevelType w:val="hybridMultilevel"/>
    <w:tmpl w:val="A7B41E9C"/>
    <w:lvl w:ilvl="0" w:tplc="E97CF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B0E41"/>
    <w:multiLevelType w:val="hybridMultilevel"/>
    <w:tmpl w:val="FE26B1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069D1"/>
    <w:multiLevelType w:val="hybridMultilevel"/>
    <w:tmpl w:val="557C09B8"/>
    <w:lvl w:ilvl="0" w:tplc="50205EA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1D270B1"/>
    <w:multiLevelType w:val="hybridMultilevel"/>
    <w:tmpl w:val="7D884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1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74BDD"/>
    <w:multiLevelType w:val="hybridMultilevel"/>
    <w:tmpl w:val="5E869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1E78"/>
    <w:multiLevelType w:val="hybridMultilevel"/>
    <w:tmpl w:val="C1EE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B40BE"/>
    <w:multiLevelType w:val="hybridMultilevel"/>
    <w:tmpl w:val="0C3A9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B152B"/>
    <w:multiLevelType w:val="hybridMultilevel"/>
    <w:tmpl w:val="68C6C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2"/>
    <w:rsid w:val="000079D4"/>
    <w:rsid w:val="0018073A"/>
    <w:rsid w:val="00A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C609-2B8B-47F4-AA04-71DA5E2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0D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Śliż</dc:creator>
  <cp:keywords/>
  <dc:description/>
  <cp:lastModifiedBy>Monika Śliż</cp:lastModifiedBy>
  <cp:revision>1</cp:revision>
  <dcterms:created xsi:type="dcterms:W3CDTF">2018-12-18T10:18:00Z</dcterms:created>
  <dcterms:modified xsi:type="dcterms:W3CDTF">2018-12-18T10:19:00Z</dcterms:modified>
</cp:coreProperties>
</file>